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8A9" w:rsidRPr="005938A9" w:rsidRDefault="005938A9" w:rsidP="005938A9">
      <w:pPr>
        <w:shd w:val="clear" w:color="auto" w:fill="FFFFFF"/>
        <w:spacing w:before="450" w:after="300" w:line="240" w:lineRule="auto"/>
        <w:outlineLvl w:val="1"/>
        <w:rPr>
          <w:rFonts w:ascii="Arial" w:eastAsia="Times New Roman" w:hAnsi="Arial" w:cs="Arial"/>
          <w:b/>
          <w:bCs/>
          <w:color w:val="000000"/>
          <w:kern w:val="36"/>
          <w:sz w:val="21"/>
          <w:szCs w:val="21"/>
          <w:lang w:eastAsia="cs-CZ"/>
        </w:rPr>
      </w:pPr>
      <w:r w:rsidRPr="005938A9">
        <w:rPr>
          <w:rFonts w:ascii="Arial" w:eastAsia="Times New Roman" w:hAnsi="Arial" w:cs="Arial"/>
          <w:b/>
          <w:bCs/>
          <w:color w:val="000000"/>
          <w:kern w:val="36"/>
          <w:sz w:val="21"/>
          <w:szCs w:val="21"/>
          <w:lang w:eastAsia="cs-CZ"/>
        </w:rPr>
        <w:t>Protokol NKÚ: Česká unie sportu v kontrole obstála na jedničku</w:t>
      </w:r>
    </w:p>
    <w:p w:rsidR="005938A9" w:rsidRPr="005938A9" w:rsidRDefault="005938A9" w:rsidP="005938A9">
      <w:pPr>
        <w:shd w:val="clear" w:color="auto" w:fill="FFFFFF"/>
        <w:spacing w:after="0" w:line="240" w:lineRule="auto"/>
        <w:jc w:val="both"/>
        <w:rPr>
          <w:rFonts w:ascii="Arial" w:eastAsia="Times New Roman" w:hAnsi="Arial" w:cs="Arial"/>
          <w:color w:val="000000"/>
          <w:sz w:val="18"/>
          <w:szCs w:val="18"/>
          <w:lang w:eastAsia="cs-CZ"/>
        </w:rPr>
      </w:pPr>
      <w:r w:rsidRPr="005938A9">
        <w:rPr>
          <w:rFonts w:ascii="Arial" w:eastAsia="Times New Roman" w:hAnsi="Arial" w:cs="Arial"/>
          <w:color w:val="000000"/>
          <w:sz w:val="18"/>
          <w:szCs w:val="18"/>
          <w:lang w:eastAsia="cs-CZ"/>
        </w:rPr>
        <w:t xml:space="preserve">Nejvyšší kontrolní úřad vydal 2. února 2015 Informaci z kontrolní akce NKÚ č. 14/04 s názvem „Peněžní prostředky státu poskytované na vybrané programy ukazatele státního rozpočtu Všeobecná sportovní činnost“. K Informaci byla vydána tisková zpráva NKÚ nadepsaná </w:t>
      </w:r>
      <w:r w:rsidRPr="005938A9">
        <w:rPr>
          <w:rFonts w:ascii="Arial" w:eastAsia="Times New Roman" w:hAnsi="Arial" w:cs="Arial"/>
          <w:i/>
          <w:iCs/>
          <w:color w:val="000000"/>
          <w:sz w:val="18"/>
          <w:szCs w:val="18"/>
          <w:lang w:eastAsia="cs-CZ"/>
        </w:rPr>
        <w:t>„Dotace na sport: MŠMT rozdalo neprůhledně 800 milionů korun“</w:t>
      </w:r>
      <w:r w:rsidRPr="005938A9">
        <w:rPr>
          <w:rFonts w:ascii="Arial" w:eastAsia="Times New Roman" w:hAnsi="Arial" w:cs="Arial"/>
          <w:color w:val="000000"/>
          <w:sz w:val="18"/>
          <w:szCs w:val="18"/>
          <w:lang w:eastAsia="cs-CZ"/>
        </w:rPr>
        <w:t xml:space="preserve">. V Informaci a v tiskové zprávě je zmíněna Česká unie sportu ve formulacích, které by však mohly být v daném kontextu pro čtenáře zavádějící, neboť kontrolní akce probíhala v první polovině loňského roku a z </w:t>
      </w:r>
      <w:hyperlink r:id="rId5" w:tgtFrame="_blank" w:history="1">
        <w:r w:rsidRPr="005938A9">
          <w:rPr>
            <w:rFonts w:ascii="Arial" w:eastAsia="Times New Roman" w:hAnsi="Arial" w:cs="Arial"/>
            <w:color w:val="0782C1"/>
            <w:sz w:val="18"/>
            <w:szCs w:val="18"/>
            <w:u w:val="single"/>
            <w:lang w:eastAsia="cs-CZ"/>
          </w:rPr>
          <w:t>kontrolního protokolu</w:t>
        </w:r>
      </w:hyperlink>
      <w:r w:rsidRPr="005938A9">
        <w:rPr>
          <w:rFonts w:ascii="Arial" w:eastAsia="Times New Roman" w:hAnsi="Arial" w:cs="Arial"/>
          <w:color w:val="000000"/>
          <w:sz w:val="18"/>
          <w:szCs w:val="18"/>
          <w:lang w:eastAsia="cs-CZ"/>
        </w:rPr>
        <w:t xml:space="preserve">, vydaného NKÚ dne 24. července 2014 pro Českou unii sportu (ČUS) jednoznačně vyplývá, že ČUS prošla touto kontrolou bez nálezu. </w:t>
      </w:r>
      <w:r w:rsidRPr="005938A9">
        <w:rPr>
          <w:rFonts w:ascii="Arial" w:eastAsia="Times New Roman" w:hAnsi="Arial" w:cs="Arial"/>
          <w:b/>
          <w:bCs/>
          <w:color w:val="000000"/>
          <w:sz w:val="18"/>
          <w:szCs w:val="18"/>
          <w:lang w:eastAsia="cs-CZ"/>
        </w:rPr>
        <w:t>V  protokolu ze dne 24. července 2014 NKÚ výslovně uvádí, že nebyly zjištěny žádné nedostatky v nakládání se státními prostředky, ČUS požádala o finance v souladu s pravidly MŠMT, čerpala v souladu s pravidly MŠMT, vyúčtovala v souladu s pravidly MŠMT, zaúčtovala je do účetnictví v souladu s pravidly, kontrolovala je a nečerpala žádné neuznatelné náklady (plné znění protokolu NKÚ je přílohou tiskové zprávy)</w:t>
      </w:r>
      <w:r w:rsidRPr="005938A9">
        <w:rPr>
          <w:rFonts w:ascii="Arial" w:eastAsia="Times New Roman" w:hAnsi="Arial" w:cs="Arial"/>
          <w:color w:val="000000"/>
          <w:sz w:val="18"/>
          <w:szCs w:val="18"/>
          <w:lang w:eastAsia="cs-CZ"/>
        </w:rPr>
        <w:t>.</w:t>
      </w:r>
    </w:p>
    <w:p w:rsidR="005938A9" w:rsidRPr="005938A9" w:rsidRDefault="005938A9" w:rsidP="005938A9">
      <w:pPr>
        <w:shd w:val="clear" w:color="auto" w:fill="FFFFFF"/>
        <w:spacing w:after="0" w:line="240" w:lineRule="auto"/>
        <w:jc w:val="both"/>
        <w:rPr>
          <w:rFonts w:ascii="Arial" w:eastAsia="Times New Roman" w:hAnsi="Arial" w:cs="Arial"/>
          <w:color w:val="000000"/>
          <w:sz w:val="18"/>
          <w:szCs w:val="18"/>
          <w:lang w:eastAsia="cs-CZ"/>
        </w:rPr>
      </w:pPr>
      <w:r w:rsidRPr="005938A9">
        <w:rPr>
          <w:rFonts w:ascii="Arial" w:eastAsia="Times New Roman" w:hAnsi="Arial" w:cs="Arial"/>
          <w:color w:val="000000"/>
          <w:sz w:val="18"/>
          <w:szCs w:val="18"/>
          <w:lang w:eastAsia="cs-CZ"/>
        </w:rPr>
        <w:t> </w:t>
      </w:r>
    </w:p>
    <w:p w:rsidR="005938A9" w:rsidRPr="005938A9" w:rsidRDefault="005938A9" w:rsidP="005938A9">
      <w:pPr>
        <w:shd w:val="clear" w:color="auto" w:fill="FFFFFF"/>
        <w:spacing w:after="0" w:line="240" w:lineRule="auto"/>
        <w:jc w:val="both"/>
        <w:rPr>
          <w:rFonts w:ascii="Arial" w:eastAsia="Times New Roman" w:hAnsi="Arial" w:cs="Arial"/>
          <w:color w:val="000000"/>
          <w:sz w:val="18"/>
          <w:szCs w:val="18"/>
          <w:lang w:eastAsia="cs-CZ"/>
        </w:rPr>
      </w:pPr>
      <w:r w:rsidRPr="005938A9">
        <w:rPr>
          <w:rFonts w:ascii="Arial" w:eastAsia="Times New Roman" w:hAnsi="Arial" w:cs="Arial"/>
          <w:color w:val="000000"/>
          <w:sz w:val="18"/>
          <w:szCs w:val="18"/>
          <w:lang w:eastAsia="cs-CZ"/>
        </w:rPr>
        <w:t>V obou materiálech NKÚ je uvedeno, že Česká unie sportu použila část, dle pravidel MŠMT řádně užitých dotací, na svůj provoz (</w:t>
      </w:r>
      <w:proofErr w:type="gramStart"/>
      <w:r w:rsidRPr="005938A9">
        <w:rPr>
          <w:rFonts w:ascii="Arial" w:eastAsia="Times New Roman" w:hAnsi="Arial" w:cs="Arial"/>
          <w:color w:val="000000"/>
          <w:sz w:val="18"/>
          <w:szCs w:val="18"/>
          <w:lang w:eastAsia="cs-CZ"/>
        </w:rPr>
        <w:t>ze</w:t>
      </w:r>
      <w:proofErr w:type="gramEnd"/>
      <w:r w:rsidRPr="005938A9">
        <w:rPr>
          <w:rFonts w:ascii="Arial" w:eastAsia="Times New Roman" w:hAnsi="Arial" w:cs="Arial"/>
          <w:color w:val="000000"/>
          <w:sz w:val="18"/>
          <w:szCs w:val="18"/>
          <w:lang w:eastAsia="cs-CZ"/>
        </w:rPr>
        <w:t xml:space="preserve"> 42milionové dotace použila 26 milionů korun na mzdy), resp. že ČUS část dotace využila na úhradu vlastních nákladů, a nikoli na konkrétní projekty se stanovenými konkrétními a měřitelnými cíli podporující sport.</w:t>
      </w:r>
    </w:p>
    <w:p w:rsidR="005938A9" w:rsidRPr="005938A9" w:rsidRDefault="005938A9" w:rsidP="005938A9">
      <w:pPr>
        <w:shd w:val="clear" w:color="auto" w:fill="FFFFFF"/>
        <w:spacing w:after="0" w:line="240" w:lineRule="auto"/>
        <w:jc w:val="both"/>
        <w:rPr>
          <w:rFonts w:ascii="Arial" w:eastAsia="Times New Roman" w:hAnsi="Arial" w:cs="Arial"/>
          <w:color w:val="000000"/>
          <w:sz w:val="18"/>
          <w:szCs w:val="18"/>
          <w:lang w:eastAsia="cs-CZ"/>
        </w:rPr>
      </w:pPr>
      <w:r w:rsidRPr="005938A9">
        <w:rPr>
          <w:rFonts w:ascii="Arial" w:eastAsia="Times New Roman" w:hAnsi="Arial" w:cs="Arial"/>
          <w:color w:val="000000"/>
          <w:sz w:val="18"/>
          <w:szCs w:val="18"/>
          <w:lang w:eastAsia="cs-CZ"/>
        </w:rPr>
        <w:t> </w:t>
      </w:r>
    </w:p>
    <w:p w:rsidR="005938A9" w:rsidRPr="005938A9" w:rsidRDefault="005938A9" w:rsidP="005938A9">
      <w:pPr>
        <w:shd w:val="clear" w:color="auto" w:fill="FFFFFF"/>
        <w:spacing w:after="0" w:line="240" w:lineRule="auto"/>
        <w:jc w:val="both"/>
        <w:rPr>
          <w:rFonts w:ascii="Arial" w:eastAsia="Times New Roman" w:hAnsi="Arial" w:cs="Arial"/>
          <w:color w:val="000000"/>
          <w:sz w:val="18"/>
          <w:szCs w:val="18"/>
          <w:lang w:eastAsia="cs-CZ"/>
        </w:rPr>
      </w:pPr>
      <w:r w:rsidRPr="005938A9">
        <w:rPr>
          <w:rFonts w:ascii="Arial" w:eastAsia="Times New Roman" w:hAnsi="Arial" w:cs="Arial"/>
          <w:color w:val="000000"/>
          <w:sz w:val="18"/>
          <w:szCs w:val="18"/>
          <w:lang w:eastAsia="cs-CZ"/>
        </w:rPr>
        <w:t>Toto nešťastné vyjádření by mohlo být interpretováno tak, že ČUS použila prostředky v rozporu s dotačními pravidly, nebo že je nepoužila na organizaci sportu. Tento výklad, který by mohl plynout z neobratné formulace obou materiálů NKÚ, ČUS důrazně odmítá.</w:t>
      </w:r>
    </w:p>
    <w:p w:rsidR="005938A9" w:rsidRPr="005938A9" w:rsidRDefault="005938A9" w:rsidP="005938A9">
      <w:pPr>
        <w:shd w:val="clear" w:color="auto" w:fill="FFFFFF"/>
        <w:spacing w:after="0" w:line="240" w:lineRule="auto"/>
        <w:jc w:val="both"/>
        <w:rPr>
          <w:rFonts w:ascii="Arial" w:eastAsia="Times New Roman" w:hAnsi="Arial" w:cs="Arial"/>
          <w:color w:val="000000"/>
          <w:sz w:val="18"/>
          <w:szCs w:val="18"/>
          <w:lang w:eastAsia="cs-CZ"/>
        </w:rPr>
      </w:pPr>
      <w:r w:rsidRPr="005938A9">
        <w:rPr>
          <w:rFonts w:ascii="Arial" w:eastAsia="Times New Roman" w:hAnsi="Arial" w:cs="Arial"/>
          <w:color w:val="000000"/>
          <w:sz w:val="18"/>
          <w:szCs w:val="18"/>
          <w:lang w:eastAsia="cs-CZ"/>
        </w:rPr>
        <w:t> </w:t>
      </w:r>
    </w:p>
    <w:p w:rsidR="005938A9" w:rsidRPr="005938A9" w:rsidRDefault="005938A9" w:rsidP="005938A9">
      <w:pPr>
        <w:shd w:val="clear" w:color="auto" w:fill="FFFFFF"/>
        <w:spacing w:after="0" w:line="240" w:lineRule="auto"/>
        <w:jc w:val="both"/>
        <w:rPr>
          <w:rFonts w:ascii="Arial" w:eastAsia="Times New Roman" w:hAnsi="Arial" w:cs="Arial"/>
          <w:color w:val="000000"/>
          <w:sz w:val="18"/>
          <w:szCs w:val="18"/>
          <w:lang w:eastAsia="cs-CZ"/>
        </w:rPr>
      </w:pPr>
      <w:r w:rsidRPr="005938A9">
        <w:rPr>
          <w:rFonts w:ascii="Arial" w:eastAsia="Times New Roman" w:hAnsi="Arial" w:cs="Arial"/>
          <w:color w:val="000000"/>
          <w:sz w:val="18"/>
          <w:szCs w:val="18"/>
          <w:lang w:eastAsia="cs-CZ"/>
        </w:rPr>
        <w:t xml:space="preserve">Dotace (program č. V MŠMT) byla určena na sportovní činnost neziskových organizací včetně mzdových nákladů (tj. právě na úhradu vlastních nákladů spolků). ČUS je největším českým sportovním spolkem, 8 731 sportovních klubů a </w:t>
      </w:r>
      <w:proofErr w:type="gramStart"/>
      <w:r w:rsidRPr="005938A9">
        <w:rPr>
          <w:rFonts w:ascii="Arial" w:eastAsia="Times New Roman" w:hAnsi="Arial" w:cs="Arial"/>
          <w:color w:val="000000"/>
          <w:sz w:val="18"/>
          <w:szCs w:val="18"/>
          <w:lang w:eastAsia="cs-CZ"/>
        </w:rPr>
        <w:t>jednot s 1,3</w:t>
      </w:r>
      <w:proofErr w:type="gramEnd"/>
      <w:r w:rsidRPr="005938A9">
        <w:rPr>
          <w:rFonts w:ascii="Arial" w:eastAsia="Times New Roman" w:hAnsi="Arial" w:cs="Arial"/>
          <w:color w:val="000000"/>
          <w:sz w:val="18"/>
          <w:szCs w:val="18"/>
          <w:lang w:eastAsia="cs-CZ"/>
        </w:rPr>
        <w:t xml:space="preserve"> miliony členů, tedy většinu sportovního prostředí České republiky. Těmto spolkům poskytuje administrativně sportovní servis 91 regionálních servisních sportovních center ČUS. ČUS je sama aktivním organizátorem sportu, výrazně přímo podporuje sport, sama plní sportovní, organizační a obsahovou činnost – tedy přesně a právě to, na co byly dotace určeny. </w:t>
      </w:r>
    </w:p>
    <w:p w:rsidR="005938A9" w:rsidRPr="005938A9" w:rsidRDefault="005938A9" w:rsidP="005938A9">
      <w:pPr>
        <w:shd w:val="clear" w:color="auto" w:fill="FFFFFF"/>
        <w:spacing w:after="0" w:line="240" w:lineRule="auto"/>
        <w:jc w:val="both"/>
        <w:rPr>
          <w:rFonts w:ascii="Arial" w:eastAsia="Times New Roman" w:hAnsi="Arial" w:cs="Arial"/>
          <w:color w:val="000000"/>
          <w:sz w:val="18"/>
          <w:szCs w:val="18"/>
          <w:lang w:eastAsia="cs-CZ"/>
        </w:rPr>
      </w:pPr>
      <w:r w:rsidRPr="005938A9">
        <w:rPr>
          <w:rFonts w:ascii="Arial" w:eastAsia="Times New Roman" w:hAnsi="Arial" w:cs="Arial"/>
          <w:color w:val="000000"/>
          <w:sz w:val="18"/>
          <w:szCs w:val="18"/>
          <w:lang w:eastAsia="cs-CZ"/>
        </w:rPr>
        <w:t> </w:t>
      </w:r>
    </w:p>
    <w:p w:rsidR="005938A9" w:rsidRPr="005938A9" w:rsidRDefault="005938A9" w:rsidP="005938A9">
      <w:pPr>
        <w:shd w:val="clear" w:color="auto" w:fill="FFFFFF"/>
        <w:spacing w:after="0" w:line="240" w:lineRule="auto"/>
        <w:jc w:val="both"/>
        <w:rPr>
          <w:rFonts w:ascii="Arial" w:eastAsia="Times New Roman" w:hAnsi="Arial" w:cs="Arial"/>
          <w:color w:val="000000"/>
          <w:sz w:val="18"/>
          <w:szCs w:val="18"/>
          <w:lang w:eastAsia="cs-CZ"/>
        </w:rPr>
      </w:pPr>
      <w:r w:rsidRPr="005938A9">
        <w:rPr>
          <w:rFonts w:ascii="Arial" w:eastAsia="Times New Roman" w:hAnsi="Arial" w:cs="Arial"/>
          <w:b/>
          <w:bCs/>
          <w:color w:val="000000"/>
          <w:sz w:val="18"/>
          <w:szCs w:val="18"/>
          <w:lang w:eastAsia="cs-CZ"/>
        </w:rPr>
        <w:t>ČUS využila přidělené státní dotace přesně v souladu s jejich určením, tj. na organizaci sportu, podporu plnění sportovní, organizační a obsahové činnosti.</w:t>
      </w:r>
    </w:p>
    <w:p w:rsidR="005938A9" w:rsidRPr="005938A9" w:rsidRDefault="005938A9" w:rsidP="005938A9">
      <w:pPr>
        <w:shd w:val="clear" w:color="auto" w:fill="FFFFFF"/>
        <w:spacing w:after="0" w:line="240" w:lineRule="auto"/>
        <w:jc w:val="both"/>
        <w:rPr>
          <w:rFonts w:ascii="Arial" w:eastAsia="Times New Roman" w:hAnsi="Arial" w:cs="Arial"/>
          <w:color w:val="000000"/>
          <w:sz w:val="18"/>
          <w:szCs w:val="18"/>
          <w:lang w:eastAsia="cs-CZ"/>
        </w:rPr>
      </w:pPr>
      <w:r w:rsidRPr="005938A9">
        <w:rPr>
          <w:rFonts w:ascii="Arial" w:eastAsia="Times New Roman" w:hAnsi="Arial" w:cs="Arial"/>
          <w:color w:val="000000"/>
          <w:sz w:val="18"/>
          <w:szCs w:val="18"/>
          <w:lang w:eastAsia="cs-CZ"/>
        </w:rPr>
        <w:t> </w:t>
      </w:r>
    </w:p>
    <w:p w:rsidR="005938A9" w:rsidRPr="005938A9" w:rsidRDefault="005938A9" w:rsidP="005938A9">
      <w:pPr>
        <w:shd w:val="clear" w:color="auto" w:fill="FFFFFF"/>
        <w:spacing w:after="0" w:line="240" w:lineRule="auto"/>
        <w:jc w:val="both"/>
        <w:rPr>
          <w:rFonts w:ascii="Arial" w:eastAsia="Times New Roman" w:hAnsi="Arial" w:cs="Arial"/>
          <w:color w:val="000000"/>
          <w:sz w:val="18"/>
          <w:szCs w:val="18"/>
          <w:lang w:eastAsia="cs-CZ"/>
        </w:rPr>
      </w:pPr>
      <w:r w:rsidRPr="005938A9">
        <w:rPr>
          <w:rFonts w:ascii="Arial" w:eastAsia="Times New Roman" w:hAnsi="Arial" w:cs="Arial"/>
          <w:color w:val="000000"/>
          <w:sz w:val="18"/>
          <w:szCs w:val="18"/>
          <w:lang w:eastAsia="cs-CZ"/>
        </w:rPr>
        <w:t xml:space="preserve">Informací NKÚ uváděnou okolnost, že ČUS nepoužila prostředky na konkrétní projekty se stanovenými konkrétními a měřitelnými cíli podporující sport, je třeba interpretovat tak, že </w:t>
      </w:r>
      <w:r w:rsidRPr="005938A9">
        <w:rPr>
          <w:rFonts w:ascii="Arial" w:eastAsia="Times New Roman" w:hAnsi="Arial" w:cs="Arial"/>
          <w:i/>
          <w:iCs/>
          <w:color w:val="000000"/>
          <w:sz w:val="18"/>
          <w:szCs w:val="18"/>
          <w:lang w:eastAsia="cs-CZ"/>
        </w:rPr>
        <w:t>„konkrétní a měřitelné cíle“</w:t>
      </w:r>
      <w:r w:rsidRPr="005938A9">
        <w:rPr>
          <w:rFonts w:ascii="Arial" w:eastAsia="Times New Roman" w:hAnsi="Arial" w:cs="Arial"/>
          <w:color w:val="000000"/>
          <w:sz w:val="18"/>
          <w:szCs w:val="18"/>
          <w:lang w:eastAsia="cs-CZ"/>
        </w:rPr>
        <w:t xml:space="preserve"> MŠMT v minulých obdobích nestanovilo. ČUS naopak použila prostředky na organizaci sportu, včetně administrativně sportovního servisu, a na konkrétní sportovní projekty, které sama zajišťuje. Patří k nim např. provoz dvou plaveckých areálů (v Praze Podolí a na Strahově), národního sportovního centra v Nymburce, lyžařského areálů na </w:t>
      </w:r>
      <w:proofErr w:type="spellStart"/>
      <w:r w:rsidRPr="005938A9">
        <w:rPr>
          <w:rFonts w:ascii="Arial" w:eastAsia="Times New Roman" w:hAnsi="Arial" w:cs="Arial"/>
          <w:color w:val="000000"/>
          <w:sz w:val="18"/>
          <w:szCs w:val="18"/>
          <w:lang w:eastAsia="cs-CZ"/>
        </w:rPr>
        <w:t>Zadově</w:t>
      </w:r>
      <w:proofErr w:type="spellEnd"/>
      <w:r w:rsidRPr="005938A9">
        <w:rPr>
          <w:rFonts w:ascii="Arial" w:eastAsia="Times New Roman" w:hAnsi="Arial" w:cs="Arial"/>
          <w:color w:val="000000"/>
          <w:sz w:val="18"/>
          <w:szCs w:val="18"/>
          <w:lang w:eastAsia="cs-CZ"/>
        </w:rPr>
        <w:t xml:space="preserve"> a řady dalších sportovních zařízení, kde aktivně sportují statisíce lidí. Je přirozené, že podporu sportovní činnosti a sportovní projekty zajišťují konkrétní lidé za konkrétní mzdu. Řada z nich, zejména v regionech, na částečné úvazky. V provozu sportovních zařízení je využíváno řady dělnických profesí, bez nichž by tisíce lidí nemohly sportovat.</w:t>
      </w:r>
    </w:p>
    <w:p w:rsidR="005938A9" w:rsidRPr="005938A9" w:rsidRDefault="005938A9" w:rsidP="005938A9">
      <w:pPr>
        <w:shd w:val="clear" w:color="auto" w:fill="FFFFFF"/>
        <w:spacing w:after="0" w:line="240" w:lineRule="auto"/>
        <w:jc w:val="both"/>
        <w:rPr>
          <w:rFonts w:ascii="Arial" w:eastAsia="Times New Roman" w:hAnsi="Arial" w:cs="Arial"/>
          <w:color w:val="000000"/>
          <w:sz w:val="18"/>
          <w:szCs w:val="18"/>
          <w:lang w:eastAsia="cs-CZ"/>
        </w:rPr>
      </w:pPr>
      <w:r w:rsidRPr="005938A9">
        <w:rPr>
          <w:rFonts w:ascii="Arial" w:eastAsia="Times New Roman" w:hAnsi="Arial" w:cs="Arial"/>
          <w:color w:val="000000"/>
          <w:sz w:val="18"/>
          <w:szCs w:val="18"/>
          <w:lang w:eastAsia="cs-CZ"/>
        </w:rPr>
        <w:t> </w:t>
      </w:r>
    </w:p>
    <w:p w:rsidR="005938A9" w:rsidRPr="005938A9" w:rsidRDefault="005938A9" w:rsidP="005938A9">
      <w:pPr>
        <w:shd w:val="clear" w:color="auto" w:fill="FFFFFF"/>
        <w:spacing w:before="100" w:beforeAutospacing="1" w:after="100" w:afterAutospacing="1" w:line="240" w:lineRule="auto"/>
        <w:jc w:val="both"/>
        <w:outlineLvl w:val="2"/>
        <w:rPr>
          <w:rFonts w:ascii="Arial" w:eastAsia="Times New Roman" w:hAnsi="Arial" w:cs="Arial"/>
          <w:b/>
          <w:bCs/>
          <w:color w:val="000000"/>
          <w:sz w:val="27"/>
          <w:szCs w:val="27"/>
          <w:lang w:eastAsia="cs-CZ"/>
        </w:rPr>
      </w:pPr>
      <w:r w:rsidRPr="005938A9">
        <w:rPr>
          <w:rFonts w:ascii="Arial" w:eastAsia="Times New Roman" w:hAnsi="Arial" w:cs="Arial"/>
          <w:b/>
          <w:bCs/>
          <w:color w:val="000000"/>
          <w:sz w:val="27"/>
          <w:szCs w:val="27"/>
          <w:lang w:eastAsia="cs-CZ"/>
        </w:rPr>
        <w:t xml:space="preserve">Příloha tiskové zprávy: </w:t>
      </w:r>
      <w:hyperlink r:id="rId6" w:tgtFrame="_blank" w:history="1">
        <w:r w:rsidRPr="005938A9">
          <w:rPr>
            <w:rFonts w:ascii="Arial" w:eastAsia="Times New Roman" w:hAnsi="Arial" w:cs="Arial"/>
            <w:b/>
            <w:bCs/>
            <w:color w:val="0782C1"/>
            <w:sz w:val="27"/>
            <w:szCs w:val="27"/>
            <w:u w:val="single"/>
            <w:lang w:eastAsia="cs-CZ"/>
          </w:rPr>
          <w:t>Závěrečný protokol NKÚ</w:t>
        </w:r>
      </w:hyperlink>
    </w:p>
    <w:p w:rsidR="005938A9" w:rsidRPr="005938A9" w:rsidRDefault="005938A9" w:rsidP="005938A9">
      <w:pPr>
        <w:shd w:val="clear" w:color="auto" w:fill="FFFFFF"/>
        <w:spacing w:after="0" w:line="240" w:lineRule="auto"/>
        <w:jc w:val="both"/>
        <w:rPr>
          <w:rFonts w:ascii="Arial" w:eastAsia="Times New Roman" w:hAnsi="Arial" w:cs="Arial"/>
          <w:color w:val="000000"/>
          <w:sz w:val="18"/>
          <w:szCs w:val="18"/>
          <w:lang w:eastAsia="cs-CZ"/>
        </w:rPr>
      </w:pPr>
      <w:r w:rsidRPr="005938A9">
        <w:rPr>
          <w:rFonts w:ascii="Arial" w:eastAsia="Times New Roman" w:hAnsi="Arial" w:cs="Arial"/>
          <w:color w:val="000000"/>
          <w:sz w:val="18"/>
          <w:szCs w:val="18"/>
          <w:lang w:eastAsia="cs-CZ"/>
        </w:rPr>
        <w:t> </w:t>
      </w:r>
    </w:p>
    <w:p w:rsidR="005938A9" w:rsidRPr="005938A9" w:rsidRDefault="005938A9" w:rsidP="005938A9">
      <w:pPr>
        <w:shd w:val="clear" w:color="auto" w:fill="FFFFFF"/>
        <w:spacing w:after="0" w:line="240" w:lineRule="auto"/>
        <w:rPr>
          <w:rFonts w:ascii="Arial" w:eastAsia="Times New Roman" w:hAnsi="Arial" w:cs="Arial"/>
          <w:color w:val="000000"/>
          <w:sz w:val="18"/>
          <w:szCs w:val="18"/>
          <w:lang w:eastAsia="cs-CZ"/>
        </w:rPr>
      </w:pPr>
      <w:r w:rsidRPr="005938A9">
        <w:rPr>
          <w:rFonts w:ascii="Arial" w:eastAsia="Times New Roman" w:hAnsi="Arial" w:cs="Arial"/>
          <w:b/>
          <w:bCs/>
          <w:color w:val="000000"/>
          <w:sz w:val="18"/>
          <w:szCs w:val="18"/>
          <w:lang w:eastAsia="cs-CZ"/>
        </w:rPr>
        <w:t>Lenka Angelika Tichá</w:t>
      </w:r>
      <w:r w:rsidRPr="005938A9">
        <w:rPr>
          <w:rFonts w:ascii="Arial" w:eastAsia="Times New Roman" w:hAnsi="Arial" w:cs="Arial"/>
          <w:color w:val="000000"/>
          <w:sz w:val="18"/>
          <w:szCs w:val="18"/>
          <w:lang w:eastAsia="cs-CZ"/>
        </w:rPr>
        <w:t xml:space="preserve"> - tisková mluvčí</w:t>
      </w:r>
      <w:r w:rsidRPr="005938A9">
        <w:rPr>
          <w:rFonts w:ascii="Arial" w:eastAsia="Times New Roman" w:hAnsi="Arial" w:cs="Arial"/>
          <w:color w:val="000000"/>
          <w:sz w:val="18"/>
          <w:szCs w:val="18"/>
          <w:lang w:eastAsia="cs-CZ"/>
        </w:rPr>
        <w:br/>
        <w:t>+420 602 231 674</w:t>
      </w:r>
      <w:r>
        <w:rPr>
          <w:rFonts w:ascii="Arial" w:eastAsia="Times New Roman" w:hAnsi="Arial" w:cs="Arial"/>
          <w:noProof/>
          <w:color w:val="000000"/>
          <w:sz w:val="18"/>
          <w:szCs w:val="18"/>
          <w:lang w:eastAsia="cs-CZ"/>
        </w:rPr>
        <w:drawing>
          <wp:inline distT="0" distB="0" distL="0" distR="0">
            <wp:extent cx="228600" cy="228600"/>
            <wp:effectExtent l="0" t="0" r="0" b="0"/>
            <wp:docPr id="1" name="Obrázek 1" descr="skypec2c://r/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pec2c://r/2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938A9">
        <w:rPr>
          <w:rFonts w:ascii="Arial" w:eastAsia="Times New Roman" w:hAnsi="Arial" w:cs="Arial"/>
          <w:color w:val="000000"/>
          <w:sz w:val="18"/>
          <w:szCs w:val="18"/>
          <w:lang w:eastAsia="cs-CZ"/>
        </w:rPr>
        <w:t>+420 602 231 674</w:t>
      </w:r>
      <w:r w:rsidRPr="005938A9">
        <w:rPr>
          <w:rFonts w:ascii="Arial" w:eastAsia="Times New Roman" w:hAnsi="Arial" w:cs="Arial"/>
          <w:color w:val="000000"/>
          <w:sz w:val="18"/>
          <w:szCs w:val="18"/>
          <w:lang w:eastAsia="cs-CZ"/>
        </w:rPr>
        <w:br/>
      </w:r>
      <w:hyperlink r:id="rId8" w:history="1">
        <w:r w:rsidRPr="005938A9">
          <w:rPr>
            <w:rFonts w:ascii="Arial" w:eastAsia="Times New Roman" w:hAnsi="Arial" w:cs="Arial"/>
            <w:color w:val="0782C1"/>
            <w:sz w:val="18"/>
            <w:szCs w:val="18"/>
            <w:u w:val="single"/>
            <w:lang w:eastAsia="cs-CZ"/>
          </w:rPr>
          <w:t>ticha@cuscz.cz</w:t>
        </w:r>
      </w:hyperlink>
    </w:p>
    <w:p w:rsidR="00A0222D" w:rsidRDefault="00A0222D">
      <w:bookmarkStart w:id="0" w:name="_GoBack"/>
      <w:bookmarkEnd w:id="0"/>
    </w:p>
    <w:sectPr w:rsidR="00A022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8A9"/>
    <w:rsid w:val="005938A9"/>
    <w:rsid w:val="00A022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5938A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5938A9"/>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5938A9"/>
    <w:pPr>
      <w:spacing w:after="0"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5938A9"/>
    <w:rPr>
      <w:i/>
      <w:iCs/>
    </w:rPr>
  </w:style>
  <w:style w:type="character" w:styleId="Siln">
    <w:name w:val="Strong"/>
    <w:basedOn w:val="Standardnpsmoodstavce"/>
    <w:uiPriority w:val="22"/>
    <w:qFormat/>
    <w:rsid w:val="005938A9"/>
    <w:rPr>
      <w:b/>
      <w:bCs/>
    </w:rPr>
  </w:style>
  <w:style w:type="character" w:customStyle="1" w:styleId="skypec2cprintcontainer">
    <w:name w:val="skype_c2c_print_container"/>
    <w:basedOn w:val="Standardnpsmoodstavce"/>
    <w:rsid w:val="005938A9"/>
  </w:style>
  <w:style w:type="character" w:customStyle="1" w:styleId="skypec2ctextspan">
    <w:name w:val="skype_c2c_text_span"/>
    <w:basedOn w:val="Standardnpsmoodstavce"/>
    <w:rsid w:val="005938A9"/>
  </w:style>
  <w:style w:type="paragraph" w:styleId="Textbubliny">
    <w:name w:val="Balloon Text"/>
    <w:basedOn w:val="Normln"/>
    <w:link w:val="TextbublinyChar"/>
    <w:uiPriority w:val="99"/>
    <w:semiHidden/>
    <w:unhideWhenUsed/>
    <w:rsid w:val="005938A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938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5938A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5938A9"/>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5938A9"/>
    <w:pPr>
      <w:spacing w:after="0"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5938A9"/>
    <w:rPr>
      <w:i/>
      <w:iCs/>
    </w:rPr>
  </w:style>
  <w:style w:type="character" w:styleId="Siln">
    <w:name w:val="Strong"/>
    <w:basedOn w:val="Standardnpsmoodstavce"/>
    <w:uiPriority w:val="22"/>
    <w:qFormat/>
    <w:rsid w:val="005938A9"/>
    <w:rPr>
      <w:b/>
      <w:bCs/>
    </w:rPr>
  </w:style>
  <w:style w:type="character" w:customStyle="1" w:styleId="skypec2cprintcontainer">
    <w:name w:val="skype_c2c_print_container"/>
    <w:basedOn w:val="Standardnpsmoodstavce"/>
    <w:rsid w:val="005938A9"/>
  </w:style>
  <w:style w:type="character" w:customStyle="1" w:styleId="skypec2ctextspan">
    <w:name w:val="skype_c2c_text_span"/>
    <w:basedOn w:val="Standardnpsmoodstavce"/>
    <w:rsid w:val="005938A9"/>
  </w:style>
  <w:style w:type="paragraph" w:styleId="Textbubliny">
    <w:name w:val="Balloon Text"/>
    <w:basedOn w:val="Normln"/>
    <w:link w:val="TextbublinyChar"/>
    <w:uiPriority w:val="99"/>
    <w:semiHidden/>
    <w:unhideWhenUsed/>
    <w:rsid w:val="005938A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938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826569">
      <w:bodyDiv w:val="1"/>
      <w:marLeft w:val="0"/>
      <w:marRight w:val="0"/>
      <w:marTop w:val="0"/>
      <w:marBottom w:val="0"/>
      <w:divBdr>
        <w:top w:val="none" w:sz="0" w:space="0" w:color="auto"/>
        <w:left w:val="none" w:sz="0" w:space="0" w:color="auto"/>
        <w:bottom w:val="none" w:sz="0" w:space="0" w:color="auto"/>
        <w:right w:val="none" w:sz="0" w:space="0" w:color="auto"/>
      </w:divBdr>
      <w:divsChild>
        <w:div w:id="504788211">
          <w:marLeft w:val="0"/>
          <w:marRight w:val="0"/>
          <w:marTop w:val="0"/>
          <w:marBottom w:val="0"/>
          <w:divBdr>
            <w:top w:val="none" w:sz="0" w:space="0" w:color="auto"/>
            <w:left w:val="none" w:sz="0" w:space="0" w:color="auto"/>
            <w:bottom w:val="none" w:sz="0" w:space="0" w:color="auto"/>
            <w:right w:val="none" w:sz="0" w:space="0" w:color="auto"/>
          </w:divBdr>
          <w:divsChild>
            <w:div w:id="1687176514">
              <w:marLeft w:val="-150"/>
              <w:marRight w:val="-150"/>
              <w:marTop w:val="0"/>
              <w:marBottom w:val="0"/>
              <w:divBdr>
                <w:top w:val="none" w:sz="0" w:space="0" w:color="auto"/>
                <w:left w:val="none" w:sz="0" w:space="0" w:color="auto"/>
                <w:bottom w:val="none" w:sz="0" w:space="0" w:color="auto"/>
                <w:right w:val="none" w:sz="0" w:space="0" w:color="auto"/>
              </w:divBdr>
              <w:divsChild>
                <w:div w:id="2067143598">
                  <w:marLeft w:val="0"/>
                  <w:marRight w:val="0"/>
                  <w:marTop w:val="0"/>
                  <w:marBottom w:val="0"/>
                  <w:divBdr>
                    <w:top w:val="none" w:sz="0" w:space="0" w:color="auto"/>
                    <w:left w:val="none" w:sz="0" w:space="0" w:color="auto"/>
                    <w:bottom w:val="none" w:sz="0" w:space="0" w:color="auto"/>
                    <w:right w:val="none" w:sz="0" w:space="0" w:color="auto"/>
                  </w:divBdr>
                  <w:divsChild>
                    <w:div w:id="211313537">
                      <w:marLeft w:val="0"/>
                      <w:marRight w:val="0"/>
                      <w:marTop w:val="0"/>
                      <w:marBottom w:val="0"/>
                      <w:divBdr>
                        <w:top w:val="none" w:sz="0" w:space="0" w:color="auto"/>
                        <w:left w:val="none" w:sz="0" w:space="0" w:color="auto"/>
                        <w:bottom w:val="none" w:sz="0" w:space="0" w:color="auto"/>
                        <w:right w:val="none" w:sz="0" w:space="0" w:color="auto"/>
                      </w:divBdr>
                      <w:divsChild>
                        <w:div w:id="383942291">
                          <w:marLeft w:val="0"/>
                          <w:marRight w:val="0"/>
                          <w:marTop w:val="0"/>
                          <w:marBottom w:val="0"/>
                          <w:divBdr>
                            <w:top w:val="none" w:sz="0" w:space="0" w:color="auto"/>
                            <w:left w:val="none" w:sz="0" w:space="0" w:color="auto"/>
                            <w:bottom w:val="none" w:sz="0" w:space="0" w:color="auto"/>
                            <w:right w:val="none" w:sz="0" w:space="0" w:color="auto"/>
                          </w:divBdr>
                          <w:divsChild>
                            <w:div w:id="1986931369">
                              <w:marLeft w:val="0"/>
                              <w:marRight w:val="0"/>
                              <w:marTop w:val="0"/>
                              <w:marBottom w:val="0"/>
                              <w:divBdr>
                                <w:top w:val="none" w:sz="0" w:space="0" w:color="auto"/>
                                <w:left w:val="none" w:sz="0" w:space="0" w:color="auto"/>
                                <w:bottom w:val="none" w:sz="0" w:space="0" w:color="auto"/>
                                <w:right w:val="none" w:sz="0" w:space="0" w:color="auto"/>
                              </w:divBdr>
                              <w:divsChild>
                                <w:div w:id="2004120297">
                                  <w:marLeft w:val="0"/>
                                  <w:marRight w:val="0"/>
                                  <w:marTop w:val="0"/>
                                  <w:marBottom w:val="0"/>
                                  <w:divBdr>
                                    <w:top w:val="none" w:sz="0" w:space="0" w:color="auto"/>
                                    <w:left w:val="none" w:sz="0" w:space="0" w:color="auto"/>
                                    <w:bottom w:val="none" w:sz="0" w:space="0" w:color="auto"/>
                                    <w:right w:val="none" w:sz="0" w:space="0" w:color="auto"/>
                                  </w:divBdr>
                                  <w:divsChild>
                                    <w:div w:id="15038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cha@cuscz.cz"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uscz.cz/files/1155OWM.pdf" TargetMode="External"/><Relationship Id="rId5" Type="http://schemas.openxmlformats.org/officeDocument/2006/relationships/hyperlink" Target="http://www.cuscz.cz/files/1155OWM.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3182</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Jirka</dc:creator>
  <cp:lastModifiedBy>Jirka</cp:lastModifiedBy>
  <cp:revision>1</cp:revision>
  <dcterms:created xsi:type="dcterms:W3CDTF">2015-02-03T11:26:00Z</dcterms:created>
  <dcterms:modified xsi:type="dcterms:W3CDTF">2015-02-03T11:26:00Z</dcterms:modified>
</cp:coreProperties>
</file>